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D303" w14:textId="77777777" w:rsidR="002C6640" w:rsidRPr="00024DB4" w:rsidRDefault="002C6640" w:rsidP="002C6640">
      <w:pPr>
        <w:spacing w:after="0" w:line="240" w:lineRule="auto"/>
        <w:jc w:val="both"/>
        <w:textAlignment w:val="baseline"/>
        <w:rPr>
          <w:rFonts w:eastAsia="Times New Roman" w:cstheme="minorHAnsi"/>
          <w:b/>
          <w:color w:val="000000"/>
          <w:sz w:val="24"/>
          <w:szCs w:val="24"/>
          <w:bdr w:val="none" w:sz="0" w:space="0" w:color="auto" w:frame="1"/>
          <w:lang w:eastAsia="es-SV"/>
        </w:rPr>
      </w:pPr>
    </w:p>
    <w:p w14:paraId="5D28F760" w14:textId="68EA8CF5" w:rsidR="002C6640" w:rsidRPr="00926F89" w:rsidRDefault="00555DBF" w:rsidP="002C6640">
      <w:pPr>
        <w:spacing w:after="0" w:line="240" w:lineRule="auto"/>
        <w:jc w:val="center"/>
        <w:textAlignment w:val="baseline"/>
        <w:rPr>
          <w:rFonts w:eastAsia="Times New Roman" w:cstheme="minorHAnsi"/>
          <w:b/>
          <w:color w:val="000000"/>
          <w:sz w:val="32"/>
          <w:szCs w:val="32"/>
          <w:bdr w:val="none" w:sz="0" w:space="0" w:color="auto" w:frame="1"/>
          <w:lang w:eastAsia="es-SV"/>
        </w:rPr>
      </w:pPr>
      <w:r w:rsidRPr="00926F89">
        <w:rPr>
          <w:rFonts w:eastAsia="Times New Roman" w:cstheme="minorHAnsi"/>
          <w:b/>
          <w:color w:val="000000"/>
          <w:sz w:val="36"/>
          <w:szCs w:val="36"/>
          <w:bdr w:val="none" w:sz="0" w:space="0" w:color="auto" w:frame="1"/>
          <w:lang w:eastAsia="es-SV"/>
        </w:rPr>
        <w:t>T</w:t>
      </w:r>
      <w:r w:rsidR="002C6640" w:rsidRPr="00926F89">
        <w:rPr>
          <w:rFonts w:eastAsia="Times New Roman" w:cstheme="minorHAnsi"/>
          <w:b/>
          <w:color w:val="000000"/>
          <w:sz w:val="36"/>
          <w:szCs w:val="36"/>
          <w:bdr w:val="none" w:sz="0" w:space="0" w:color="auto" w:frame="1"/>
          <w:lang w:eastAsia="es-SV"/>
        </w:rPr>
        <w:t>rabajadoras de la fábrica Florenzi exigen pronta y cumplida justicia</w:t>
      </w:r>
    </w:p>
    <w:p w14:paraId="07A6FD30" w14:textId="77777777" w:rsidR="002C6640" w:rsidRPr="005B0555" w:rsidRDefault="002C6640" w:rsidP="002C6640">
      <w:pPr>
        <w:spacing w:after="0" w:line="240" w:lineRule="auto"/>
        <w:jc w:val="both"/>
        <w:textAlignment w:val="baseline"/>
        <w:rPr>
          <w:rFonts w:eastAsia="Times New Roman" w:cstheme="minorHAnsi"/>
          <w:color w:val="000000"/>
          <w:lang w:eastAsia="es-SV"/>
        </w:rPr>
      </w:pPr>
    </w:p>
    <w:p w14:paraId="2C4BCFB7" w14:textId="464AA534" w:rsidR="002C6640" w:rsidRPr="00EB6019" w:rsidRDefault="00177764"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Pr>
          <w:rFonts w:eastAsia="Times New Roman" w:cstheme="minorHAnsi"/>
          <w:color w:val="000000"/>
          <w:sz w:val="23"/>
          <w:szCs w:val="23"/>
          <w:bdr w:val="none" w:sz="0" w:space="0" w:color="auto" w:frame="1"/>
          <w:lang w:eastAsia="es-SV"/>
        </w:rPr>
        <w:t>En enero de 2020,</w:t>
      </w:r>
      <w:r w:rsidR="002C6640" w:rsidRPr="00EB6019">
        <w:rPr>
          <w:rFonts w:eastAsia="Times New Roman" w:cstheme="minorHAnsi"/>
          <w:color w:val="000000"/>
          <w:sz w:val="23"/>
          <w:szCs w:val="23"/>
          <w:bdr w:val="none" w:sz="0" w:space="0" w:color="auto" w:frame="1"/>
          <w:lang w:eastAsia="es-SV"/>
        </w:rPr>
        <w:t xml:space="preserve"> trabajadoras de la Fábrica Industri</w:t>
      </w:r>
      <w:r>
        <w:rPr>
          <w:rFonts w:eastAsia="Times New Roman" w:cstheme="minorHAnsi"/>
          <w:color w:val="000000"/>
          <w:sz w:val="23"/>
          <w:szCs w:val="23"/>
          <w:bdr w:val="none" w:sz="0" w:space="0" w:color="auto" w:frame="1"/>
          <w:lang w:eastAsia="es-SV"/>
        </w:rPr>
        <w:t>as Florenzi S.A de C.V,</w:t>
      </w:r>
      <w:r w:rsidR="002C6640" w:rsidRPr="00EB6019">
        <w:rPr>
          <w:rFonts w:eastAsia="Times New Roman" w:cstheme="minorHAnsi"/>
          <w:color w:val="000000"/>
          <w:sz w:val="23"/>
          <w:szCs w:val="23"/>
          <w:bdr w:val="none" w:sz="0" w:space="0" w:color="auto" w:frame="1"/>
          <w:lang w:eastAsia="es-SV"/>
        </w:rPr>
        <w:t xml:space="preserve"> </w:t>
      </w:r>
      <w:r>
        <w:rPr>
          <w:rFonts w:eastAsia="Times New Roman" w:cstheme="minorHAnsi"/>
          <w:color w:val="000000"/>
          <w:sz w:val="23"/>
          <w:szCs w:val="23"/>
          <w:bdr w:val="none" w:sz="0" w:space="0" w:color="auto" w:frame="1"/>
          <w:lang w:eastAsia="es-SV"/>
        </w:rPr>
        <w:t>iniciaron</w:t>
      </w:r>
      <w:r w:rsidR="002C6640" w:rsidRPr="00EB6019">
        <w:rPr>
          <w:rFonts w:eastAsia="Times New Roman" w:cstheme="minorHAnsi"/>
          <w:color w:val="000000"/>
          <w:sz w:val="23"/>
          <w:szCs w:val="23"/>
          <w:bdr w:val="none" w:sz="0" w:space="0" w:color="auto" w:frame="1"/>
          <w:lang w:eastAsia="es-SV"/>
        </w:rPr>
        <w:t xml:space="preserve"> una huelga de hambre y diferentes acciones,</w:t>
      </w:r>
      <w:r>
        <w:rPr>
          <w:rFonts w:eastAsia="Times New Roman" w:cstheme="minorHAnsi"/>
          <w:color w:val="000000"/>
          <w:sz w:val="23"/>
          <w:szCs w:val="23"/>
          <w:bdr w:val="none" w:sz="0" w:space="0" w:color="auto" w:frame="1"/>
          <w:lang w:eastAsia="es-SV"/>
        </w:rPr>
        <w:t xml:space="preserve"> </w:t>
      </w:r>
      <w:r w:rsidR="002C6640" w:rsidRPr="00EB6019">
        <w:rPr>
          <w:rFonts w:eastAsia="Times New Roman" w:cstheme="minorHAnsi"/>
          <w:color w:val="000000"/>
          <w:sz w:val="23"/>
          <w:szCs w:val="23"/>
          <w:bdr w:val="none" w:sz="0" w:space="0" w:color="auto" w:frame="1"/>
          <w:lang w:eastAsia="es-SV"/>
        </w:rPr>
        <w:t xml:space="preserve">para hacer valer sus derechos laborales y una respuesta oportuna ante la difícil situación que afrontan a siete meses del cierre irregular de la empresa. </w:t>
      </w:r>
    </w:p>
    <w:p w14:paraId="736C5893"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p>
    <w:p w14:paraId="1E8EE8FB" w14:textId="6EF4E618"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Las trabajadoras demandan a las distintas instituciones del Estado, acciones concretas para agilizar los procesos judiciales iniciados desde julio 2020, después que 210 personas fueran despedidas de la maquila Industrias Florenzi, ubicada en Soyapango. También pid</w:t>
      </w:r>
      <w:r w:rsidR="00177764">
        <w:rPr>
          <w:rFonts w:eastAsia="Times New Roman" w:cstheme="minorHAnsi"/>
          <w:color w:val="000000"/>
          <w:sz w:val="23"/>
          <w:szCs w:val="23"/>
          <w:bdr w:val="none" w:sz="0" w:space="0" w:color="auto" w:frame="1"/>
          <w:lang w:eastAsia="es-SV"/>
        </w:rPr>
        <w:t>ieron</w:t>
      </w:r>
      <w:r w:rsidRPr="00EB6019">
        <w:rPr>
          <w:rFonts w:eastAsia="Times New Roman" w:cstheme="minorHAnsi"/>
          <w:color w:val="000000"/>
          <w:sz w:val="23"/>
          <w:szCs w:val="23"/>
          <w:bdr w:val="none" w:sz="0" w:space="0" w:color="auto" w:frame="1"/>
          <w:lang w:eastAsia="es-SV"/>
        </w:rPr>
        <w:t xml:space="preserve"> la actuación oportuna de las distintas instituciones, de acuerdo con sus competencias: Procuraduría General de la Rep</w:t>
      </w:r>
      <w:r w:rsidR="00C27393" w:rsidRPr="00EB6019">
        <w:rPr>
          <w:rFonts w:eastAsia="Times New Roman" w:cstheme="minorHAnsi"/>
          <w:color w:val="000000"/>
          <w:sz w:val="23"/>
          <w:szCs w:val="23"/>
          <w:bdr w:val="none" w:sz="0" w:space="0" w:color="auto" w:frame="1"/>
          <w:lang w:eastAsia="es-SV"/>
        </w:rPr>
        <w:t>ú</w:t>
      </w:r>
      <w:r w:rsidRPr="00EB6019">
        <w:rPr>
          <w:rFonts w:eastAsia="Times New Roman" w:cstheme="minorHAnsi"/>
          <w:color w:val="000000"/>
          <w:sz w:val="23"/>
          <w:szCs w:val="23"/>
          <w:bdr w:val="none" w:sz="0" w:space="0" w:color="auto" w:frame="1"/>
          <w:lang w:eastAsia="es-SV"/>
        </w:rPr>
        <w:t xml:space="preserve">blica, Fiscalía General de la República, Presidencia de la República, Ministerio de Trabajo y Previsión Social, Ministerio de Hacienda, Ministerio de Economía, Instituto Salvadoreño del Seguro Social y Alcaldía Municipal de Soyapango. </w:t>
      </w:r>
    </w:p>
    <w:p w14:paraId="6B8C961C"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p>
    <w:p w14:paraId="0B67A178" w14:textId="41F5CBEB"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 xml:space="preserve">Previo a la huelga de hambre, las trabajadoras realizaron diversas acciones como cierres de calles, concentraciones, conferencias de prensa, como medidas de presión para obtener mayor celeridad en sus procesos, ya que aseguran que no se han decretado las medidas cautelares solicitadas para la protección de sus prestaciones laborales.  “En el momento, en que nuestros abogados presentan nuestras denuncias y la vinculación de la razón social, cada quien ha tenido diferentes criterios para rebotarnos pruebas y eso ha venido dilatando el proceso, a pesar que según la Ley de Zona Francas tienen cinco días para poder resolver; esos cinco días para nosotros se han llegado a siete meses”, expresó al Observatorio Económico Laboral de ORMUSA, una de las afectadas. </w:t>
      </w:r>
    </w:p>
    <w:p w14:paraId="21AA1E49"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p>
    <w:p w14:paraId="16589802"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“Para nosotras es cansado física y psicológicamente, esto nos ha afectado mucho, pero tenemos la fuerza para seguir diciéndole al Estado y al gobierno, las situaciones en las que nos tienen. Nosotras hemos tenido la gallardía de pelear en medio de la pandemia porque (en la fábrica) se han robado nuestras pensiones, nuestras cuotas del Seguro Social, eso ha venido a afectarnos más nuestras condiciones de salud, algunas compañeras tienen enfermedades crónicas. También hemos sido discriminadas por la edad y no hemos podido tener acceso a un nuevo empleo en una empresa”.</w:t>
      </w:r>
    </w:p>
    <w:p w14:paraId="5FCC551F"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p>
    <w:p w14:paraId="3CEA82A5"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 xml:space="preserve">Agregan: “No estamos pidiendo algo que no nos pertenece, estamos pidiendo lo que hemos ganado por años. Aquí hay compañeras que están exigiendo su pasivo laboral porque han estado laborando en esta empresa por más de 25 años, 20 años o por lo menos 10 años. Yo estoy dispuesta a dar mi vida por mis compañeras y compañeros hasta que se haga justicia. Me mueve la injusticia, sé que, de esta lucha, va a quedar un buen precedente histórico”.      </w:t>
      </w:r>
    </w:p>
    <w:p w14:paraId="0BA2BB80"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p>
    <w:p w14:paraId="7CFFE2E1" w14:textId="1B852894"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La empresa Florenzi acumulaba denuncias desde el año 2015, por malos tratos, acoso laboral, acoso sexual, condiciones inadecuadas de trabajo, entre otras irregularidades. Lo anterior, sumado a la precaria situación de las afectadas, en su mayoría mujeres, ilustra la urgente necesidad de impulsar las siguientes reformas y/o acciones para prevenir situaciones similares a futuro:</w:t>
      </w:r>
    </w:p>
    <w:p w14:paraId="7FAFD994" w14:textId="77777777" w:rsidR="002C6640" w:rsidRPr="00EB6019" w:rsidRDefault="002C6640" w:rsidP="002C6640">
      <w:p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 xml:space="preserve"> </w:t>
      </w:r>
    </w:p>
    <w:p w14:paraId="183B0F1C" w14:textId="77777777" w:rsidR="002C6640" w:rsidRPr="00EB6019" w:rsidRDefault="002C6640" w:rsidP="002C6640">
      <w:pPr>
        <w:pStyle w:val="Prrafodelista"/>
        <w:numPr>
          <w:ilvl w:val="0"/>
          <w:numId w:val="1"/>
        </w:num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Reducir la mora en los juzgados de lo laboral y brindar mayor celeridad a los procesos judiciales y administrativos de las personas que demandan la protección de sus derechos laborales y el tutelaje de derechos fundamentales a través de un procedimiento expedito.</w:t>
      </w:r>
    </w:p>
    <w:p w14:paraId="2CBF60E4" w14:textId="77777777" w:rsidR="002C6640" w:rsidRPr="00EB6019" w:rsidRDefault="002C6640" w:rsidP="002C6640">
      <w:pPr>
        <w:pStyle w:val="Prrafodelista"/>
        <w:spacing w:after="0" w:line="240" w:lineRule="auto"/>
        <w:ind w:left="1080"/>
        <w:jc w:val="both"/>
        <w:textAlignment w:val="baseline"/>
        <w:rPr>
          <w:rFonts w:eastAsia="Times New Roman" w:cstheme="minorHAnsi"/>
          <w:color w:val="000000"/>
          <w:sz w:val="23"/>
          <w:szCs w:val="23"/>
          <w:bdr w:val="none" w:sz="0" w:space="0" w:color="auto" w:frame="1"/>
          <w:lang w:eastAsia="es-SV"/>
        </w:rPr>
      </w:pPr>
    </w:p>
    <w:p w14:paraId="44F4DBC0" w14:textId="100E9CC0" w:rsidR="002C6640" w:rsidRPr="00EB6019" w:rsidRDefault="002C6640" w:rsidP="002C6640">
      <w:pPr>
        <w:pStyle w:val="Prrafodelista"/>
        <w:numPr>
          <w:ilvl w:val="0"/>
          <w:numId w:val="1"/>
        </w:num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val="es-ES" w:eastAsia="es-SV"/>
        </w:rPr>
        <w:t>Revisar los procesos de sanción y recuperación por apropiación de cuotas laborales del ISSS y de AFP. Según datos de la Fiscalía General de la República, e</w:t>
      </w:r>
      <w:r w:rsidRPr="00EB6019">
        <w:rPr>
          <w:rFonts w:eastAsia="Times New Roman" w:cstheme="minorHAnsi"/>
          <w:color w:val="000000"/>
          <w:sz w:val="23"/>
          <w:szCs w:val="23"/>
          <w:bdr w:val="none" w:sz="0" w:space="0" w:color="auto" w:frame="1"/>
          <w:lang w:val="es-ES"/>
        </w:rPr>
        <w:t xml:space="preserve">n el periodo 2014-2019, se presentó a la justicia un </w:t>
      </w:r>
      <w:r w:rsidRPr="00EB6019">
        <w:rPr>
          <w:rFonts w:eastAsia="Times New Roman" w:cstheme="minorHAnsi"/>
          <w:color w:val="000000"/>
          <w:sz w:val="23"/>
          <w:szCs w:val="23"/>
          <w:bdr w:val="none" w:sz="0" w:space="0" w:color="auto" w:frame="1"/>
          <w:lang w:val="es-ES"/>
        </w:rPr>
        <w:lastRenderedPageBreak/>
        <w:t>aproximado de 877 personas acusadas o imputadas por el delito de apropiación o retención ilegal de cuotas laborales, afecta</w:t>
      </w:r>
      <w:r w:rsidR="009A1508" w:rsidRPr="00EB6019">
        <w:rPr>
          <w:rFonts w:eastAsia="Times New Roman" w:cstheme="minorHAnsi"/>
          <w:color w:val="000000"/>
          <w:sz w:val="23"/>
          <w:szCs w:val="23"/>
          <w:bdr w:val="none" w:sz="0" w:space="0" w:color="auto" w:frame="1"/>
          <w:lang w:val="es-ES"/>
        </w:rPr>
        <w:t>n</w:t>
      </w:r>
      <w:r w:rsidRPr="00EB6019">
        <w:rPr>
          <w:rFonts w:eastAsia="Times New Roman" w:cstheme="minorHAnsi"/>
          <w:color w:val="000000"/>
          <w:sz w:val="23"/>
          <w:szCs w:val="23"/>
          <w:bdr w:val="none" w:sz="0" w:space="0" w:color="auto" w:frame="1"/>
          <w:lang w:val="es-ES"/>
        </w:rPr>
        <w:t>do alrededor de 8,078 personas.</w:t>
      </w:r>
      <w:r w:rsidRPr="00EB6019">
        <w:rPr>
          <w:rStyle w:val="Refdenotaalpie"/>
          <w:rFonts w:eastAsia="Times New Roman" w:cstheme="minorHAnsi"/>
          <w:color w:val="000000"/>
          <w:sz w:val="23"/>
          <w:szCs w:val="23"/>
          <w:bdr w:val="none" w:sz="0" w:space="0" w:color="auto" w:frame="1"/>
          <w:lang w:val="es-ES"/>
        </w:rPr>
        <w:footnoteReference w:id="1"/>
      </w:r>
    </w:p>
    <w:p w14:paraId="009F3530" w14:textId="77777777" w:rsidR="002C6640" w:rsidRPr="005B0555" w:rsidRDefault="002C6640" w:rsidP="002C6640">
      <w:pPr>
        <w:spacing w:after="0" w:line="240" w:lineRule="auto"/>
        <w:ind w:left="360"/>
        <w:jc w:val="both"/>
        <w:textAlignment w:val="baseline"/>
        <w:rPr>
          <w:rFonts w:eastAsia="Times New Roman" w:cstheme="minorHAnsi"/>
          <w:color w:val="000000"/>
          <w:bdr w:val="none" w:sz="0" w:space="0" w:color="auto" w:frame="1"/>
          <w:lang w:eastAsia="es-SV"/>
        </w:rPr>
      </w:pPr>
    </w:p>
    <w:tbl>
      <w:tblPr>
        <w:tblStyle w:val="Tabladecuadrcula2-nfasis1"/>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750"/>
        <w:gridCol w:w="1106"/>
        <w:gridCol w:w="1107"/>
        <w:gridCol w:w="1107"/>
        <w:gridCol w:w="1107"/>
        <w:gridCol w:w="1117"/>
        <w:gridCol w:w="1293"/>
      </w:tblGrid>
      <w:tr w:rsidR="00AA28C2" w:rsidRPr="00666FAC" w14:paraId="72D70BEB" w14:textId="77777777" w:rsidTr="00323519">
        <w:trPr>
          <w:cnfStyle w:val="100000000000" w:firstRow="1" w:lastRow="0" w:firstColumn="0" w:lastColumn="0" w:oddVBand="0" w:evenVBand="0" w:oddHBand="0" w:evenHBand="0" w:firstRowFirstColumn="0" w:firstRowLastColumn="0" w:lastRowFirstColumn="0" w:lastRowLastColumn="0"/>
          <w:trHeight w:val="272"/>
          <w:jc w:val="right"/>
        </w:trPr>
        <w:tc>
          <w:tcPr>
            <w:cnfStyle w:val="001000000000" w:firstRow="0" w:lastRow="0" w:firstColumn="1" w:lastColumn="0" w:oddVBand="0" w:evenVBand="0" w:oddHBand="0" w:evenHBand="0" w:firstRowFirstColumn="0" w:firstRowLastColumn="0" w:lastRowFirstColumn="0" w:lastRowLastColumn="0"/>
            <w:tcW w:w="9498" w:type="dxa"/>
            <w:gridSpan w:val="8"/>
            <w:tcBorders>
              <w:top w:val="none" w:sz="0" w:space="0" w:color="auto"/>
              <w:bottom w:val="none" w:sz="0" w:space="0" w:color="auto"/>
            </w:tcBorders>
            <w:hideMark/>
          </w:tcPr>
          <w:p w14:paraId="2E830156" w14:textId="77777777" w:rsidR="00AA28C2" w:rsidRPr="00666FAC" w:rsidRDefault="00AA28C2" w:rsidP="00323519">
            <w:pPr>
              <w:spacing w:after="0" w:line="240" w:lineRule="auto"/>
              <w:jc w:val="center"/>
              <w:rPr>
                <w:rFonts w:eastAsia="Times New Roman" w:cstheme="minorHAnsi"/>
                <w:color w:val="FFFFFF"/>
                <w:sz w:val="20"/>
                <w:szCs w:val="20"/>
                <w:lang w:eastAsia="es-SV"/>
              </w:rPr>
            </w:pPr>
            <w:r w:rsidRPr="00666FAC">
              <w:rPr>
                <w:rFonts w:eastAsia="Times New Roman" w:cstheme="minorHAnsi"/>
                <w:sz w:val="20"/>
                <w:szCs w:val="20"/>
                <w:lang w:eastAsia="es-SV"/>
              </w:rPr>
              <w:t>Víctimas del delito de apropiación o retención de cuotas laborales, según sexo, El Salvador, período 2014-2019.</w:t>
            </w:r>
          </w:p>
        </w:tc>
      </w:tr>
      <w:tr w:rsidR="00AA28C2" w:rsidRPr="00666FAC" w14:paraId="26134014" w14:textId="77777777" w:rsidTr="00323519">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1911" w:type="dxa"/>
            <w:hideMark/>
          </w:tcPr>
          <w:p w14:paraId="3EF121BE" w14:textId="77777777" w:rsidR="00AA28C2" w:rsidRPr="009F5B01" w:rsidRDefault="00AA28C2" w:rsidP="00323519">
            <w:pPr>
              <w:spacing w:after="0" w:line="240" w:lineRule="auto"/>
              <w:jc w:val="center"/>
              <w:rPr>
                <w:rFonts w:eastAsia="Times New Roman" w:cstheme="minorHAnsi"/>
                <w:color w:val="000000"/>
                <w:sz w:val="20"/>
                <w:szCs w:val="20"/>
                <w:lang w:eastAsia="es-SV"/>
              </w:rPr>
            </w:pPr>
            <w:r w:rsidRPr="009F5B01">
              <w:rPr>
                <w:rFonts w:eastAsia="Times New Roman" w:cstheme="minorHAnsi"/>
                <w:color w:val="000000"/>
                <w:sz w:val="20"/>
                <w:szCs w:val="20"/>
                <w:lang w:eastAsia="es-SV"/>
              </w:rPr>
              <w:t>Sexo</w:t>
            </w:r>
          </w:p>
        </w:tc>
        <w:tc>
          <w:tcPr>
            <w:tcW w:w="750" w:type="dxa"/>
            <w:hideMark/>
          </w:tcPr>
          <w:p w14:paraId="43A85B1A"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2014</w:t>
            </w:r>
          </w:p>
        </w:tc>
        <w:tc>
          <w:tcPr>
            <w:tcW w:w="1106" w:type="dxa"/>
            <w:hideMark/>
          </w:tcPr>
          <w:p w14:paraId="2CBBCF8F"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2015</w:t>
            </w:r>
          </w:p>
        </w:tc>
        <w:tc>
          <w:tcPr>
            <w:tcW w:w="1107" w:type="dxa"/>
            <w:hideMark/>
          </w:tcPr>
          <w:p w14:paraId="3C1675FE"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2016</w:t>
            </w:r>
          </w:p>
        </w:tc>
        <w:tc>
          <w:tcPr>
            <w:tcW w:w="1107" w:type="dxa"/>
            <w:hideMark/>
          </w:tcPr>
          <w:p w14:paraId="44B97155"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2017</w:t>
            </w:r>
          </w:p>
        </w:tc>
        <w:tc>
          <w:tcPr>
            <w:tcW w:w="1107" w:type="dxa"/>
            <w:hideMark/>
          </w:tcPr>
          <w:p w14:paraId="193D9E7A"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2018</w:t>
            </w:r>
          </w:p>
        </w:tc>
        <w:tc>
          <w:tcPr>
            <w:tcW w:w="1117" w:type="dxa"/>
            <w:hideMark/>
          </w:tcPr>
          <w:p w14:paraId="6BF56491" w14:textId="77777777" w:rsidR="00AA28C2" w:rsidRPr="009F5B01" w:rsidRDefault="00AA28C2" w:rsidP="0032351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2019</w:t>
            </w:r>
          </w:p>
        </w:tc>
        <w:tc>
          <w:tcPr>
            <w:tcW w:w="1293" w:type="dxa"/>
            <w:noWrap/>
            <w:hideMark/>
          </w:tcPr>
          <w:p w14:paraId="401FFBFF" w14:textId="77777777" w:rsidR="00AA28C2" w:rsidRPr="009F5B01" w:rsidRDefault="00AA28C2" w:rsidP="00323519">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s-SV"/>
              </w:rPr>
            </w:pPr>
            <w:r w:rsidRPr="009F5B01">
              <w:rPr>
                <w:rFonts w:eastAsia="Times New Roman" w:cstheme="minorHAnsi"/>
                <w:b/>
                <w:bCs/>
                <w:color w:val="000000"/>
                <w:sz w:val="20"/>
                <w:szCs w:val="20"/>
                <w:lang w:eastAsia="es-SV"/>
              </w:rPr>
              <w:t>Total</w:t>
            </w:r>
          </w:p>
        </w:tc>
      </w:tr>
      <w:tr w:rsidR="00AA28C2" w:rsidRPr="00666FAC" w14:paraId="51D1270C" w14:textId="77777777" w:rsidTr="00323519">
        <w:trPr>
          <w:trHeight w:val="141"/>
          <w:jc w:val="right"/>
        </w:trPr>
        <w:tc>
          <w:tcPr>
            <w:cnfStyle w:val="001000000000" w:firstRow="0" w:lastRow="0" w:firstColumn="1" w:lastColumn="0" w:oddVBand="0" w:evenVBand="0" w:oddHBand="0" w:evenHBand="0" w:firstRowFirstColumn="0" w:firstRowLastColumn="0" w:lastRowFirstColumn="0" w:lastRowLastColumn="0"/>
            <w:tcW w:w="1911" w:type="dxa"/>
            <w:hideMark/>
          </w:tcPr>
          <w:p w14:paraId="4B8DFBF5" w14:textId="77777777" w:rsidR="00AA28C2" w:rsidRPr="00666FAC" w:rsidRDefault="00AA28C2" w:rsidP="00323519">
            <w:pPr>
              <w:spacing w:after="0" w:line="240" w:lineRule="auto"/>
              <w:jc w:val="both"/>
              <w:rPr>
                <w:rFonts w:eastAsia="Times New Roman" w:cstheme="minorHAnsi"/>
                <w:b w:val="0"/>
                <w:bCs w:val="0"/>
                <w:color w:val="000000"/>
                <w:sz w:val="20"/>
                <w:szCs w:val="20"/>
                <w:lang w:eastAsia="es-SV"/>
              </w:rPr>
            </w:pPr>
            <w:r w:rsidRPr="00666FAC">
              <w:rPr>
                <w:rFonts w:eastAsia="Times New Roman" w:cstheme="minorHAnsi"/>
                <w:b w:val="0"/>
                <w:bCs w:val="0"/>
                <w:color w:val="000000"/>
                <w:sz w:val="20"/>
                <w:szCs w:val="20"/>
                <w:lang w:eastAsia="es-SV"/>
              </w:rPr>
              <w:t xml:space="preserve">Hombre </w:t>
            </w:r>
          </w:p>
        </w:tc>
        <w:tc>
          <w:tcPr>
            <w:tcW w:w="750" w:type="dxa"/>
            <w:hideMark/>
          </w:tcPr>
          <w:p w14:paraId="2107C4CA"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606</w:t>
            </w:r>
          </w:p>
        </w:tc>
        <w:tc>
          <w:tcPr>
            <w:tcW w:w="1106" w:type="dxa"/>
            <w:hideMark/>
          </w:tcPr>
          <w:p w14:paraId="42154A9B"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368</w:t>
            </w:r>
          </w:p>
        </w:tc>
        <w:tc>
          <w:tcPr>
            <w:tcW w:w="1107" w:type="dxa"/>
            <w:hideMark/>
          </w:tcPr>
          <w:p w14:paraId="45DBF240"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390</w:t>
            </w:r>
          </w:p>
        </w:tc>
        <w:tc>
          <w:tcPr>
            <w:tcW w:w="1107" w:type="dxa"/>
            <w:hideMark/>
          </w:tcPr>
          <w:p w14:paraId="21E96834"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599</w:t>
            </w:r>
          </w:p>
        </w:tc>
        <w:tc>
          <w:tcPr>
            <w:tcW w:w="1107" w:type="dxa"/>
            <w:hideMark/>
          </w:tcPr>
          <w:p w14:paraId="124F5C66"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1166</w:t>
            </w:r>
          </w:p>
        </w:tc>
        <w:tc>
          <w:tcPr>
            <w:tcW w:w="1117" w:type="dxa"/>
            <w:hideMark/>
          </w:tcPr>
          <w:p w14:paraId="09986FCD"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505</w:t>
            </w:r>
          </w:p>
        </w:tc>
        <w:tc>
          <w:tcPr>
            <w:tcW w:w="1293" w:type="dxa"/>
            <w:noWrap/>
            <w:hideMark/>
          </w:tcPr>
          <w:p w14:paraId="3805CE89"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3634</w:t>
            </w:r>
          </w:p>
        </w:tc>
      </w:tr>
      <w:tr w:rsidR="00AA28C2" w:rsidRPr="00666FAC" w14:paraId="3A3F96C8" w14:textId="77777777" w:rsidTr="00323519">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1911" w:type="dxa"/>
            <w:hideMark/>
          </w:tcPr>
          <w:p w14:paraId="5FD3E9EC" w14:textId="77777777" w:rsidR="00AA28C2" w:rsidRPr="00666FAC" w:rsidRDefault="00AA28C2" w:rsidP="00323519">
            <w:pPr>
              <w:spacing w:after="0" w:line="240" w:lineRule="auto"/>
              <w:jc w:val="both"/>
              <w:rPr>
                <w:rFonts w:eastAsia="Times New Roman" w:cstheme="minorHAnsi"/>
                <w:b w:val="0"/>
                <w:bCs w:val="0"/>
                <w:color w:val="000000"/>
                <w:sz w:val="20"/>
                <w:szCs w:val="20"/>
                <w:lang w:eastAsia="es-SV"/>
              </w:rPr>
            </w:pPr>
            <w:r w:rsidRPr="00666FAC">
              <w:rPr>
                <w:rFonts w:eastAsia="Times New Roman" w:cstheme="minorHAnsi"/>
                <w:b w:val="0"/>
                <w:bCs w:val="0"/>
                <w:color w:val="000000"/>
                <w:sz w:val="20"/>
                <w:szCs w:val="20"/>
                <w:lang w:eastAsia="es-SV"/>
              </w:rPr>
              <w:t xml:space="preserve">Mujer </w:t>
            </w:r>
          </w:p>
        </w:tc>
        <w:tc>
          <w:tcPr>
            <w:tcW w:w="750" w:type="dxa"/>
            <w:hideMark/>
          </w:tcPr>
          <w:p w14:paraId="5FC1F885"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328</w:t>
            </w:r>
          </w:p>
        </w:tc>
        <w:tc>
          <w:tcPr>
            <w:tcW w:w="1106" w:type="dxa"/>
            <w:hideMark/>
          </w:tcPr>
          <w:p w14:paraId="2F67F4D6"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169</w:t>
            </w:r>
          </w:p>
        </w:tc>
        <w:tc>
          <w:tcPr>
            <w:tcW w:w="1107" w:type="dxa"/>
            <w:hideMark/>
          </w:tcPr>
          <w:p w14:paraId="42288C82"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197</w:t>
            </w:r>
          </w:p>
        </w:tc>
        <w:tc>
          <w:tcPr>
            <w:tcW w:w="1107" w:type="dxa"/>
            <w:hideMark/>
          </w:tcPr>
          <w:p w14:paraId="28A33E1B"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236</w:t>
            </w:r>
          </w:p>
        </w:tc>
        <w:tc>
          <w:tcPr>
            <w:tcW w:w="1107" w:type="dxa"/>
            <w:hideMark/>
          </w:tcPr>
          <w:p w14:paraId="19925459"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285</w:t>
            </w:r>
          </w:p>
        </w:tc>
        <w:tc>
          <w:tcPr>
            <w:tcW w:w="1117" w:type="dxa"/>
            <w:hideMark/>
          </w:tcPr>
          <w:p w14:paraId="1DBA9933"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241</w:t>
            </w:r>
          </w:p>
        </w:tc>
        <w:tc>
          <w:tcPr>
            <w:tcW w:w="1293" w:type="dxa"/>
            <w:noWrap/>
            <w:hideMark/>
          </w:tcPr>
          <w:p w14:paraId="1A93FC37"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1456</w:t>
            </w:r>
          </w:p>
        </w:tc>
      </w:tr>
      <w:tr w:rsidR="00AA28C2" w:rsidRPr="00666FAC" w14:paraId="31A9F733" w14:textId="77777777" w:rsidTr="00323519">
        <w:trPr>
          <w:trHeight w:val="237"/>
          <w:jc w:val="right"/>
        </w:trPr>
        <w:tc>
          <w:tcPr>
            <w:cnfStyle w:val="001000000000" w:firstRow="0" w:lastRow="0" w:firstColumn="1" w:lastColumn="0" w:oddVBand="0" w:evenVBand="0" w:oddHBand="0" w:evenHBand="0" w:firstRowFirstColumn="0" w:firstRowLastColumn="0" w:lastRowFirstColumn="0" w:lastRowLastColumn="0"/>
            <w:tcW w:w="1911" w:type="dxa"/>
            <w:hideMark/>
          </w:tcPr>
          <w:p w14:paraId="34885777" w14:textId="77777777" w:rsidR="00AA28C2" w:rsidRPr="00666FAC" w:rsidRDefault="00AA28C2" w:rsidP="00323519">
            <w:pPr>
              <w:spacing w:after="0" w:line="240" w:lineRule="auto"/>
              <w:jc w:val="both"/>
              <w:rPr>
                <w:rFonts w:eastAsia="Times New Roman" w:cstheme="minorHAnsi"/>
                <w:b w:val="0"/>
                <w:bCs w:val="0"/>
                <w:color w:val="000000"/>
                <w:sz w:val="20"/>
                <w:szCs w:val="20"/>
                <w:lang w:eastAsia="es-SV"/>
              </w:rPr>
            </w:pPr>
            <w:r w:rsidRPr="00666FAC">
              <w:rPr>
                <w:rFonts w:eastAsia="Times New Roman" w:cstheme="minorHAnsi"/>
                <w:b w:val="0"/>
                <w:bCs w:val="0"/>
                <w:color w:val="000000"/>
                <w:sz w:val="20"/>
                <w:szCs w:val="20"/>
                <w:lang w:eastAsia="es-SV"/>
              </w:rPr>
              <w:t>No registrado</w:t>
            </w:r>
          </w:p>
        </w:tc>
        <w:tc>
          <w:tcPr>
            <w:tcW w:w="750" w:type="dxa"/>
            <w:hideMark/>
          </w:tcPr>
          <w:p w14:paraId="6D903DC7"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708</w:t>
            </w:r>
          </w:p>
        </w:tc>
        <w:tc>
          <w:tcPr>
            <w:tcW w:w="1106" w:type="dxa"/>
            <w:hideMark/>
          </w:tcPr>
          <w:p w14:paraId="519EFB6B"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385</w:t>
            </w:r>
          </w:p>
        </w:tc>
        <w:tc>
          <w:tcPr>
            <w:tcW w:w="1107" w:type="dxa"/>
            <w:hideMark/>
          </w:tcPr>
          <w:p w14:paraId="5B202916"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387</w:t>
            </w:r>
          </w:p>
        </w:tc>
        <w:tc>
          <w:tcPr>
            <w:tcW w:w="1107" w:type="dxa"/>
            <w:hideMark/>
          </w:tcPr>
          <w:p w14:paraId="7BD51C70"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609</w:t>
            </w:r>
          </w:p>
        </w:tc>
        <w:tc>
          <w:tcPr>
            <w:tcW w:w="1107" w:type="dxa"/>
            <w:hideMark/>
          </w:tcPr>
          <w:p w14:paraId="39B0E0A9"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549</w:t>
            </w:r>
          </w:p>
        </w:tc>
        <w:tc>
          <w:tcPr>
            <w:tcW w:w="1117" w:type="dxa"/>
            <w:hideMark/>
          </w:tcPr>
          <w:p w14:paraId="51A7837E"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350</w:t>
            </w:r>
          </w:p>
        </w:tc>
        <w:tc>
          <w:tcPr>
            <w:tcW w:w="1293" w:type="dxa"/>
            <w:noWrap/>
            <w:hideMark/>
          </w:tcPr>
          <w:p w14:paraId="226C5949" w14:textId="77777777" w:rsidR="00AA28C2" w:rsidRPr="00666FAC" w:rsidRDefault="00AA28C2" w:rsidP="00323519">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2988</w:t>
            </w:r>
          </w:p>
        </w:tc>
      </w:tr>
      <w:tr w:rsidR="00AA28C2" w:rsidRPr="00666FAC" w14:paraId="407B4D5A" w14:textId="77777777" w:rsidTr="00323519">
        <w:trPr>
          <w:cnfStyle w:val="000000100000" w:firstRow="0" w:lastRow="0" w:firstColumn="0" w:lastColumn="0" w:oddVBand="0" w:evenVBand="0" w:oddHBand="1" w:evenHBand="0" w:firstRowFirstColumn="0" w:firstRowLastColumn="0" w:lastRowFirstColumn="0" w:lastRowLastColumn="0"/>
          <w:trHeight w:val="141"/>
          <w:jc w:val="right"/>
        </w:trPr>
        <w:tc>
          <w:tcPr>
            <w:cnfStyle w:val="001000000000" w:firstRow="0" w:lastRow="0" w:firstColumn="1" w:lastColumn="0" w:oddVBand="0" w:evenVBand="0" w:oddHBand="0" w:evenHBand="0" w:firstRowFirstColumn="0" w:firstRowLastColumn="0" w:lastRowFirstColumn="0" w:lastRowLastColumn="0"/>
            <w:tcW w:w="1911" w:type="dxa"/>
            <w:hideMark/>
          </w:tcPr>
          <w:p w14:paraId="607D2369" w14:textId="77777777" w:rsidR="00AA28C2" w:rsidRPr="00666FAC" w:rsidRDefault="00AA28C2" w:rsidP="00323519">
            <w:pPr>
              <w:spacing w:after="0" w:line="240" w:lineRule="auto"/>
              <w:jc w:val="both"/>
              <w:rPr>
                <w:rFonts w:eastAsia="Times New Roman" w:cstheme="minorHAnsi"/>
                <w:b w:val="0"/>
                <w:bCs w:val="0"/>
                <w:color w:val="000000"/>
                <w:sz w:val="20"/>
                <w:szCs w:val="20"/>
                <w:lang w:eastAsia="es-SV"/>
              </w:rPr>
            </w:pPr>
            <w:r w:rsidRPr="00666FAC">
              <w:rPr>
                <w:rFonts w:eastAsia="Times New Roman" w:cstheme="minorHAnsi"/>
                <w:b w:val="0"/>
                <w:bCs w:val="0"/>
                <w:color w:val="000000"/>
                <w:sz w:val="20"/>
                <w:szCs w:val="20"/>
                <w:lang w:eastAsia="es-SV"/>
              </w:rPr>
              <w:t xml:space="preserve">Total </w:t>
            </w:r>
          </w:p>
        </w:tc>
        <w:tc>
          <w:tcPr>
            <w:tcW w:w="750" w:type="dxa"/>
            <w:hideMark/>
          </w:tcPr>
          <w:p w14:paraId="3BC462B7"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1642</w:t>
            </w:r>
          </w:p>
        </w:tc>
        <w:tc>
          <w:tcPr>
            <w:tcW w:w="1106" w:type="dxa"/>
            <w:hideMark/>
          </w:tcPr>
          <w:p w14:paraId="780BCBB6"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922</w:t>
            </w:r>
          </w:p>
        </w:tc>
        <w:tc>
          <w:tcPr>
            <w:tcW w:w="1107" w:type="dxa"/>
            <w:hideMark/>
          </w:tcPr>
          <w:p w14:paraId="7792FF06"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974</w:t>
            </w:r>
          </w:p>
        </w:tc>
        <w:tc>
          <w:tcPr>
            <w:tcW w:w="1107" w:type="dxa"/>
            <w:hideMark/>
          </w:tcPr>
          <w:p w14:paraId="5D4E7766"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1444</w:t>
            </w:r>
          </w:p>
        </w:tc>
        <w:tc>
          <w:tcPr>
            <w:tcW w:w="1107" w:type="dxa"/>
            <w:hideMark/>
          </w:tcPr>
          <w:p w14:paraId="26476563"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2000</w:t>
            </w:r>
          </w:p>
        </w:tc>
        <w:tc>
          <w:tcPr>
            <w:tcW w:w="1117" w:type="dxa"/>
            <w:hideMark/>
          </w:tcPr>
          <w:p w14:paraId="1C095EEF"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1096</w:t>
            </w:r>
          </w:p>
        </w:tc>
        <w:tc>
          <w:tcPr>
            <w:tcW w:w="1293" w:type="dxa"/>
            <w:noWrap/>
            <w:hideMark/>
          </w:tcPr>
          <w:p w14:paraId="2E8BB3BE" w14:textId="77777777" w:rsidR="00AA28C2" w:rsidRPr="00666FAC" w:rsidRDefault="00AA28C2" w:rsidP="00323519">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SV"/>
              </w:rPr>
            </w:pPr>
            <w:r w:rsidRPr="00666FAC">
              <w:rPr>
                <w:rFonts w:eastAsia="Times New Roman" w:cstheme="minorHAnsi"/>
                <w:color w:val="000000"/>
                <w:sz w:val="20"/>
                <w:szCs w:val="20"/>
                <w:lang w:eastAsia="es-SV"/>
              </w:rPr>
              <w:t>8078</w:t>
            </w:r>
          </w:p>
        </w:tc>
      </w:tr>
      <w:tr w:rsidR="00AA28C2" w:rsidRPr="00666FAC" w14:paraId="74FA30A6" w14:textId="77777777" w:rsidTr="00323519">
        <w:trPr>
          <w:trHeight w:val="141"/>
          <w:jc w:val="right"/>
        </w:trPr>
        <w:tc>
          <w:tcPr>
            <w:cnfStyle w:val="001000000000" w:firstRow="0" w:lastRow="0" w:firstColumn="1" w:lastColumn="0" w:oddVBand="0" w:evenVBand="0" w:oddHBand="0" w:evenHBand="0" w:firstRowFirstColumn="0" w:firstRowLastColumn="0" w:lastRowFirstColumn="0" w:lastRowLastColumn="0"/>
            <w:tcW w:w="9498" w:type="dxa"/>
            <w:gridSpan w:val="8"/>
            <w:hideMark/>
          </w:tcPr>
          <w:p w14:paraId="55533A8E" w14:textId="77777777" w:rsidR="00AA28C2" w:rsidRPr="00666FAC" w:rsidRDefault="00AA28C2" w:rsidP="00323519">
            <w:pPr>
              <w:spacing w:after="0" w:line="240" w:lineRule="auto"/>
              <w:jc w:val="center"/>
              <w:rPr>
                <w:rFonts w:eastAsia="Times New Roman" w:cstheme="minorHAnsi"/>
                <w:color w:val="000000"/>
                <w:sz w:val="18"/>
                <w:szCs w:val="18"/>
                <w:lang w:eastAsia="es-SV"/>
              </w:rPr>
            </w:pPr>
            <w:r w:rsidRPr="00666FAC">
              <w:rPr>
                <w:rFonts w:eastAsia="Times New Roman" w:cstheme="minorHAnsi"/>
                <w:color w:val="000000"/>
                <w:sz w:val="18"/>
                <w:szCs w:val="18"/>
                <w:lang w:eastAsia="es-SV"/>
              </w:rPr>
              <w:t>Fuente: Departamento de Estadísticas, según base de datos SIGAP al 5-03-2020.</w:t>
            </w:r>
          </w:p>
        </w:tc>
      </w:tr>
    </w:tbl>
    <w:p w14:paraId="3225A9D2" w14:textId="77777777" w:rsidR="00323519" w:rsidRPr="00323519" w:rsidRDefault="00323519" w:rsidP="00323519">
      <w:pPr>
        <w:spacing w:after="0" w:line="240" w:lineRule="auto"/>
        <w:jc w:val="both"/>
        <w:textAlignment w:val="baseline"/>
        <w:rPr>
          <w:rFonts w:eastAsia="Times New Roman" w:cstheme="minorHAnsi"/>
          <w:color w:val="000000"/>
          <w:bdr w:val="none" w:sz="0" w:space="0" w:color="auto" w:frame="1"/>
          <w:lang w:val="es-ES" w:eastAsia="es-SV"/>
        </w:rPr>
      </w:pPr>
    </w:p>
    <w:p w14:paraId="1FDCD440" w14:textId="6D473A3C" w:rsidR="002C6640" w:rsidRPr="00197BC0" w:rsidRDefault="002C6640" w:rsidP="00197BC0">
      <w:pPr>
        <w:pStyle w:val="Prrafodelista"/>
        <w:spacing w:after="0" w:line="240" w:lineRule="auto"/>
        <w:ind w:left="1080"/>
        <w:jc w:val="both"/>
        <w:textAlignment w:val="baseline"/>
        <w:rPr>
          <w:sz w:val="23"/>
          <w:szCs w:val="23"/>
        </w:rPr>
      </w:pPr>
      <w:r w:rsidRPr="00EB6019">
        <w:rPr>
          <w:rFonts w:eastAsia="Times New Roman" w:cstheme="minorHAnsi"/>
          <w:color w:val="000000"/>
          <w:sz w:val="23"/>
          <w:szCs w:val="23"/>
          <w:bdr w:val="none" w:sz="0" w:space="0" w:color="auto" w:frame="1"/>
          <w:lang w:val="es-ES" w:eastAsia="es-SV"/>
        </w:rPr>
        <w:t xml:space="preserve">A diciembre de 2020, la mora patronal al </w:t>
      </w:r>
      <w:r w:rsidR="00197BC0" w:rsidRPr="00EB6019">
        <w:rPr>
          <w:sz w:val="23"/>
          <w:szCs w:val="23"/>
        </w:rPr>
        <w:t xml:space="preserve">Instituto Salvadoreño del Seguro Social </w:t>
      </w:r>
      <w:r w:rsidR="00197BC0">
        <w:rPr>
          <w:sz w:val="23"/>
          <w:szCs w:val="23"/>
        </w:rPr>
        <w:t>(</w:t>
      </w:r>
      <w:r w:rsidRPr="00EB6019">
        <w:rPr>
          <w:rFonts w:eastAsia="Times New Roman" w:cstheme="minorHAnsi"/>
          <w:color w:val="000000"/>
          <w:sz w:val="23"/>
          <w:szCs w:val="23"/>
          <w:bdr w:val="none" w:sz="0" w:space="0" w:color="auto" w:frame="1"/>
          <w:lang w:val="es-ES" w:eastAsia="es-SV"/>
        </w:rPr>
        <w:t>ISSS</w:t>
      </w:r>
      <w:r w:rsidR="00197BC0">
        <w:rPr>
          <w:rFonts w:eastAsia="Times New Roman" w:cstheme="minorHAnsi"/>
          <w:color w:val="000000"/>
          <w:sz w:val="23"/>
          <w:szCs w:val="23"/>
          <w:bdr w:val="none" w:sz="0" w:space="0" w:color="auto" w:frame="1"/>
          <w:lang w:val="es-ES" w:eastAsia="es-SV"/>
        </w:rPr>
        <w:t>)</w:t>
      </w:r>
      <w:r w:rsidRPr="00EB6019">
        <w:rPr>
          <w:rFonts w:eastAsia="Times New Roman" w:cstheme="minorHAnsi"/>
          <w:color w:val="000000"/>
          <w:sz w:val="23"/>
          <w:szCs w:val="23"/>
          <w:bdr w:val="none" w:sz="0" w:space="0" w:color="auto" w:frame="1"/>
          <w:lang w:val="es-ES" w:eastAsia="es-SV"/>
        </w:rPr>
        <w:t xml:space="preserve"> asciende a </w:t>
      </w:r>
      <w:r w:rsidRPr="00EB6019">
        <w:rPr>
          <w:rFonts w:ascii="Calibri" w:eastAsia="Times New Roman" w:hAnsi="Calibri" w:cs="Times New Roman"/>
          <w:color w:val="000000"/>
          <w:sz w:val="23"/>
          <w:szCs w:val="23"/>
          <w:lang w:eastAsia="es-SV"/>
        </w:rPr>
        <w:t xml:space="preserve">$83,561,508.65; además de afectar el funcionamiento institucional, este impago </w:t>
      </w:r>
      <w:r w:rsidRPr="00EB6019">
        <w:rPr>
          <w:rFonts w:eastAsia="Times New Roman" w:cstheme="minorHAnsi"/>
          <w:color w:val="000000"/>
          <w:sz w:val="23"/>
          <w:szCs w:val="23"/>
          <w:bdr w:val="none" w:sz="0" w:space="0" w:color="auto" w:frame="1"/>
          <w:lang w:val="es-ES" w:eastAsia="es-SV"/>
        </w:rPr>
        <w:t>redunda de manera directa en el historial de cotización de las personas afectadas, pese que</w:t>
      </w:r>
      <w:r w:rsidR="007F59BB" w:rsidRPr="00EB6019">
        <w:rPr>
          <w:rFonts w:eastAsia="Times New Roman" w:cstheme="minorHAnsi"/>
          <w:color w:val="000000"/>
          <w:sz w:val="23"/>
          <w:szCs w:val="23"/>
          <w:bdr w:val="none" w:sz="0" w:space="0" w:color="auto" w:frame="1"/>
          <w:lang w:val="es-ES" w:eastAsia="es-SV"/>
        </w:rPr>
        <w:t xml:space="preserve"> a</w:t>
      </w:r>
      <w:r w:rsidRPr="00EB6019">
        <w:rPr>
          <w:rFonts w:eastAsia="Times New Roman" w:cstheme="minorHAnsi"/>
          <w:color w:val="000000"/>
          <w:sz w:val="23"/>
          <w:szCs w:val="23"/>
          <w:bdr w:val="none" w:sz="0" w:space="0" w:color="auto" w:frame="1"/>
          <w:lang w:val="es-ES" w:eastAsia="es-SV"/>
        </w:rPr>
        <w:t xml:space="preserve"> ellas sí se les descontó tales cuotas mensualmente. </w:t>
      </w:r>
      <w:r w:rsidR="00197BC0">
        <w:rPr>
          <w:rFonts w:eastAsia="Times New Roman" w:cstheme="minorHAnsi"/>
          <w:color w:val="000000"/>
          <w:sz w:val="23"/>
          <w:szCs w:val="23"/>
          <w:bdr w:val="none" w:sz="0" w:space="0" w:color="auto" w:frame="1"/>
          <w:lang w:val="es-ES" w:eastAsia="es-SV"/>
        </w:rPr>
        <w:t xml:space="preserve"> </w:t>
      </w:r>
      <w:r w:rsidRPr="00197BC0">
        <w:rPr>
          <w:sz w:val="23"/>
          <w:szCs w:val="23"/>
        </w:rPr>
        <w:t>El</w:t>
      </w:r>
      <w:r w:rsidR="00197BC0">
        <w:rPr>
          <w:sz w:val="23"/>
          <w:szCs w:val="23"/>
        </w:rPr>
        <w:t xml:space="preserve"> ISSS</w:t>
      </w:r>
      <w:r w:rsidRPr="00197BC0">
        <w:rPr>
          <w:sz w:val="23"/>
          <w:szCs w:val="23"/>
        </w:rPr>
        <w:t xml:space="preserve"> reporta que cerca del 7% de patronos, en promedio, no pagan su planilla oportunamente, afectando a 13 mil personas trabajadoras mensualmente y la recaudación (cerca de $4.6 millones menos a diciembre 2020). </w:t>
      </w:r>
      <w:r w:rsidR="00197BC0">
        <w:rPr>
          <w:sz w:val="23"/>
          <w:szCs w:val="23"/>
        </w:rPr>
        <w:t xml:space="preserve"> </w:t>
      </w:r>
      <w:r w:rsidRPr="00197BC0">
        <w:rPr>
          <w:sz w:val="23"/>
          <w:szCs w:val="23"/>
        </w:rPr>
        <w:t xml:space="preserve">El siguiente cuadro muestra el monto actualizado de la mora al ISSS, separada en cotizaciones, multas y recargos. “La mora patronal constituye junto con la evasión, uno de los principales problemas del </w:t>
      </w:r>
      <w:r w:rsidR="003C261C">
        <w:rPr>
          <w:sz w:val="23"/>
          <w:szCs w:val="23"/>
        </w:rPr>
        <w:t>r</w:t>
      </w:r>
      <w:r w:rsidRPr="00197BC0">
        <w:rPr>
          <w:sz w:val="23"/>
          <w:szCs w:val="23"/>
        </w:rPr>
        <w:t xml:space="preserve">égimen de </w:t>
      </w:r>
      <w:r w:rsidR="003C261C">
        <w:rPr>
          <w:sz w:val="23"/>
          <w:szCs w:val="23"/>
        </w:rPr>
        <w:t>s</w:t>
      </w:r>
      <w:r w:rsidRPr="00197BC0">
        <w:rPr>
          <w:sz w:val="23"/>
          <w:szCs w:val="23"/>
        </w:rPr>
        <w:t>alud del ISSS</w:t>
      </w:r>
      <w:r w:rsidRPr="00EB6019">
        <w:rPr>
          <w:rStyle w:val="Refdenotaalpie"/>
          <w:sz w:val="23"/>
          <w:szCs w:val="23"/>
        </w:rPr>
        <w:footnoteReference w:id="2"/>
      </w:r>
      <w:r w:rsidRPr="00197BC0">
        <w:rPr>
          <w:sz w:val="23"/>
          <w:szCs w:val="23"/>
        </w:rPr>
        <w:t>.</w:t>
      </w:r>
      <w:r w:rsidRPr="00197BC0">
        <w:rPr>
          <w:rFonts w:eastAsia="Times New Roman" w:cstheme="minorHAnsi"/>
          <w:color w:val="000000"/>
          <w:sz w:val="23"/>
          <w:szCs w:val="23"/>
          <w:bdr w:val="none" w:sz="0" w:space="0" w:color="auto" w:frame="1"/>
          <w:lang w:eastAsia="es-SV"/>
        </w:rPr>
        <w:t xml:space="preserve">  </w:t>
      </w:r>
    </w:p>
    <w:p w14:paraId="75C77098" w14:textId="77777777" w:rsidR="002C6640" w:rsidRPr="005B0555" w:rsidRDefault="002C6640" w:rsidP="002C6640">
      <w:pPr>
        <w:pStyle w:val="Prrafodelista"/>
        <w:spacing w:after="0" w:line="240" w:lineRule="auto"/>
        <w:ind w:left="1080"/>
        <w:jc w:val="both"/>
        <w:textAlignment w:val="baseline"/>
        <w:rPr>
          <w:rFonts w:eastAsia="Times New Roman" w:cstheme="minorHAnsi"/>
          <w:color w:val="000000"/>
          <w:bdr w:val="none" w:sz="0" w:space="0" w:color="auto" w:frame="1"/>
          <w:lang w:eastAsia="es-SV"/>
        </w:rPr>
      </w:pPr>
      <w:r w:rsidRPr="005B0555">
        <w:rPr>
          <w:rFonts w:eastAsia="Times New Roman" w:cstheme="minorHAnsi"/>
          <w:color w:val="000000"/>
          <w:bdr w:val="none" w:sz="0" w:space="0" w:color="auto" w:frame="1"/>
          <w:lang w:eastAsia="es-SV"/>
        </w:rPr>
        <w:t xml:space="preserve">   </w:t>
      </w:r>
    </w:p>
    <w:tbl>
      <w:tblPr>
        <w:tblStyle w:val="Tabladecuadrcula6concolores-nfasis1"/>
        <w:tblW w:w="9729" w:type="dxa"/>
        <w:tblInd w:w="1129" w:type="dxa"/>
        <w:tblLook w:val="04A0" w:firstRow="1" w:lastRow="0" w:firstColumn="1" w:lastColumn="0" w:noHBand="0" w:noVBand="1"/>
      </w:tblPr>
      <w:tblGrid>
        <w:gridCol w:w="1791"/>
        <w:gridCol w:w="2925"/>
        <w:gridCol w:w="2418"/>
        <w:gridCol w:w="2595"/>
      </w:tblGrid>
      <w:tr w:rsidR="002C6640" w:rsidRPr="00666FAC" w14:paraId="0AFC1DDE" w14:textId="77777777" w:rsidTr="00666FAC">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29" w:type="dxa"/>
            <w:gridSpan w:val="4"/>
            <w:noWrap/>
            <w:hideMark/>
          </w:tcPr>
          <w:p w14:paraId="7F3763C9" w14:textId="77777777" w:rsidR="002C6640" w:rsidRPr="00666FAC" w:rsidRDefault="002C6640" w:rsidP="00666FAC">
            <w:pPr>
              <w:spacing w:after="0" w:line="240" w:lineRule="auto"/>
              <w:jc w:val="center"/>
              <w:rPr>
                <w:rFonts w:ascii="Times New Roman" w:eastAsia="Times New Roman" w:hAnsi="Times New Roman" w:cs="Times New Roman"/>
                <w:sz w:val="20"/>
                <w:szCs w:val="20"/>
                <w:lang w:eastAsia="es-SV"/>
              </w:rPr>
            </w:pPr>
            <w:r w:rsidRPr="00666FAC">
              <w:rPr>
                <w:rFonts w:ascii="Calibri" w:eastAsia="Times New Roman" w:hAnsi="Calibri" w:cs="Times New Roman"/>
                <w:color w:val="000000"/>
                <w:sz w:val="20"/>
                <w:szCs w:val="20"/>
                <w:lang w:eastAsia="es-SV"/>
              </w:rPr>
              <w:t>Mora patronal al I</w:t>
            </w:r>
            <w:r>
              <w:rPr>
                <w:rFonts w:ascii="Calibri" w:eastAsia="Times New Roman" w:hAnsi="Calibri" w:cs="Times New Roman"/>
                <w:color w:val="000000"/>
                <w:sz w:val="20"/>
                <w:szCs w:val="20"/>
                <w:lang w:eastAsia="es-SV"/>
              </w:rPr>
              <w:t>nstituto Salvadoreño del Seguro Social,</w:t>
            </w:r>
            <w:r w:rsidRPr="00666FAC">
              <w:rPr>
                <w:rFonts w:ascii="Calibri" w:eastAsia="Times New Roman" w:hAnsi="Calibri" w:cs="Times New Roman"/>
                <w:color w:val="000000"/>
                <w:sz w:val="20"/>
                <w:szCs w:val="20"/>
                <w:lang w:eastAsia="es-SV"/>
              </w:rPr>
              <w:t xml:space="preserve"> a diciembre 2020</w:t>
            </w:r>
            <w:r>
              <w:rPr>
                <w:rFonts w:ascii="Calibri" w:eastAsia="Times New Roman" w:hAnsi="Calibri" w:cs="Times New Roman"/>
                <w:color w:val="000000"/>
                <w:sz w:val="20"/>
                <w:szCs w:val="20"/>
                <w:lang w:eastAsia="es-SV"/>
              </w:rPr>
              <w:t>.</w:t>
            </w:r>
          </w:p>
        </w:tc>
      </w:tr>
      <w:tr w:rsidR="002C6640" w:rsidRPr="00666FAC" w14:paraId="68158212" w14:textId="77777777" w:rsidTr="00666FA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91" w:type="dxa"/>
            <w:noWrap/>
            <w:hideMark/>
          </w:tcPr>
          <w:p w14:paraId="05128D44" w14:textId="77777777" w:rsidR="002C6640" w:rsidRPr="00666FAC" w:rsidRDefault="002C6640" w:rsidP="00666FAC">
            <w:pPr>
              <w:spacing w:after="0" w:line="240" w:lineRule="auto"/>
              <w:jc w:val="both"/>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 xml:space="preserve">Sector económico </w:t>
            </w:r>
          </w:p>
        </w:tc>
        <w:tc>
          <w:tcPr>
            <w:tcW w:w="2925" w:type="dxa"/>
            <w:noWrap/>
            <w:hideMark/>
          </w:tcPr>
          <w:p w14:paraId="33C22559" w14:textId="77777777" w:rsidR="002C6640" w:rsidRPr="00666FAC" w:rsidRDefault="002C6640" w:rsidP="00666FA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666FAC">
              <w:rPr>
                <w:rFonts w:ascii="Calibri" w:eastAsia="Times New Roman" w:hAnsi="Calibri" w:cs="Times New Roman"/>
                <w:b/>
                <w:bCs/>
                <w:color w:val="000000"/>
                <w:sz w:val="20"/>
                <w:szCs w:val="20"/>
                <w:lang w:eastAsia="es-SV"/>
              </w:rPr>
              <w:t xml:space="preserve">Cotizaciones </w:t>
            </w:r>
          </w:p>
        </w:tc>
        <w:tc>
          <w:tcPr>
            <w:tcW w:w="5012" w:type="dxa"/>
            <w:gridSpan w:val="2"/>
            <w:noWrap/>
            <w:hideMark/>
          </w:tcPr>
          <w:p w14:paraId="3A1F9149" w14:textId="77777777" w:rsidR="002C6640" w:rsidRPr="00666FAC" w:rsidRDefault="002C6640" w:rsidP="00666FA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es-SV"/>
              </w:rPr>
            </w:pPr>
            <w:r w:rsidRPr="00666FAC">
              <w:rPr>
                <w:rFonts w:ascii="Calibri" w:eastAsia="Times New Roman" w:hAnsi="Calibri" w:cs="Times New Roman"/>
                <w:b/>
                <w:bCs/>
                <w:color w:val="000000"/>
                <w:sz w:val="20"/>
                <w:szCs w:val="20"/>
                <w:lang w:eastAsia="es-SV"/>
              </w:rPr>
              <w:t xml:space="preserve">Multas y recargos                     Total </w:t>
            </w:r>
          </w:p>
        </w:tc>
      </w:tr>
      <w:tr w:rsidR="002C6640" w:rsidRPr="00666FAC" w14:paraId="6A8A64CC" w14:textId="77777777" w:rsidTr="00666FAC">
        <w:trPr>
          <w:trHeight w:val="248"/>
        </w:trPr>
        <w:tc>
          <w:tcPr>
            <w:cnfStyle w:val="001000000000" w:firstRow="0" w:lastRow="0" w:firstColumn="1" w:lastColumn="0" w:oddVBand="0" w:evenVBand="0" w:oddHBand="0" w:evenHBand="0" w:firstRowFirstColumn="0" w:firstRowLastColumn="0" w:lastRowFirstColumn="0" w:lastRowLastColumn="0"/>
            <w:tcW w:w="1791" w:type="dxa"/>
            <w:noWrap/>
            <w:hideMark/>
          </w:tcPr>
          <w:p w14:paraId="1C2BE39A" w14:textId="77777777" w:rsidR="002C6640" w:rsidRPr="00666FAC" w:rsidRDefault="002C6640" w:rsidP="00666FAC">
            <w:pPr>
              <w:spacing w:after="0" w:line="240" w:lineRule="auto"/>
              <w:jc w:val="both"/>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Sector privado</w:t>
            </w:r>
          </w:p>
        </w:tc>
        <w:tc>
          <w:tcPr>
            <w:tcW w:w="2925" w:type="dxa"/>
            <w:noWrap/>
            <w:hideMark/>
          </w:tcPr>
          <w:p w14:paraId="5AC75679"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$52,376,360.40</w:t>
            </w:r>
          </w:p>
        </w:tc>
        <w:tc>
          <w:tcPr>
            <w:tcW w:w="2418" w:type="dxa"/>
            <w:noWrap/>
            <w:hideMark/>
          </w:tcPr>
          <w:p w14:paraId="2C4D3D65"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$28,339,451.99</w:t>
            </w:r>
          </w:p>
        </w:tc>
        <w:tc>
          <w:tcPr>
            <w:tcW w:w="2594" w:type="dxa"/>
            <w:noWrap/>
            <w:hideMark/>
          </w:tcPr>
          <w:p w14:paraId="2A391293"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$80,715,812.39</w:t>
            </w:r>
          </w:p>
        </w:tc>
      </w:tr>
      <w:tr w:rsidR="002C6640" w:rsidRPr="00666FAC" w14:paraId="760C4B72" w14:textId="77777777" w:rsidTr="00666FA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91" w:type="dxa"/>
            <w:noWrap/>
            <w:hideMark/>
          </w:tcPr>
          <w:p w14:paraId="5A49C651" w14:textId="77777777" w:rsidR="002C6640" w:rsidRPr="00666FAC" w:rsidRDefault="002C6640" w:rsidP="00666FAC">
            <w:pPr>
              <w:spacing w:after="0" w:line="240" w:lineRule="auto"/>
              <w:jc w:val="both"/>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 xml:space="preserve">Sector público </w:t>
            </w:r>
          </w:p>
        </w:tc>
        <w:tc>
          <w:tcPr>
            <w:tcW w:w="2925" w:type="dxa"/>
            <w:noWrap/>
            <w:hideMark/>
          </w:tcPr>
          <w:p w14:paraId="5B49F3F5" w14:textId="77777777" w:rsidR="002C6640" w:rsidRPr="00666FAC" w:rsidRDefault="002C6640" w:rsidP="001D053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$2,404,958.63</w:t>
            </w:r>
          </w:p>
        </w:tc>
        <w:tc>
          <w:tcPr>
            <w:tcW w:w="2418" w:type="dxa"/>
            <w:noWrap/>
            <w:hideMark/>
          </w:tcPr>
          <w:p w14:paraId="3F20D260" w14:textId="77777777" w:rsidR="002C6640" w:rsidRPr="00666FAC" w:rsidRDefault="002C6640" w:rsidP="001D053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$440,737.63</w:t>
            </w:r>
          </w:p>
        </w:tc>
        <w:tc>
          <w:tcPr>
            <w:tcW w:w="2594" w:type="dxa"/>
            <w:noWrap/>
            <w:hideMark/>
          </w:tcPr>
          <w:p w14:paraId="69337494" w14:textId="77777777" w:rsidR="002C6640" w:rsidRPr="00666FAC" w:rsidRDefault="002C6640" w:rsidP="001D0535">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$2,845,696.26</w:t>
            </w:r>
          </w:p>
        </w:tc>
      </w:tr>
      <w:tr w:rsidR="002C6640" w:rsidRPr="00666FAC" w14:paraId="4A118AF1" w14:textId="77777777" w:rsidTr="00666FAC">
        <w:trPr>
          <w:trHeight w:val="248"/>
        </w:trPr>
        <w:tc>
          <w:tcPr>
            <w:cnfStyle w:val="001000000000" w:firstRow="0" w:lastRow="0" w:firstColumn="1" w:lastColumn="0" w:oddVBand="0" w:evenVBand="0" w:oddHBand="0" w:evenHBand="0" w:firstRowFirstColumn="0" w:firstRowLastColumn="0" w:lastRowFirstColumn="0" w:lastRowLastColumn="0"/>
            <w:tcW w:w="1791" w:type="dxa"/>
            <w:noWrap/>
            <w:hideMark/>
          </w:tcPr>
          <w:p w14:paraId="50B75404" w14:textId="77777777" w:rsidR="002C6640" w:rsidRPr="00666FAC" w:rsidRDefault="002C6640" w:rsidP="00666FAC">
            <w:pPr>
              <w:spacing w:after="0" w:line="240" w:lineRule="auto"/>
              <w:jc w:val="both"/>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 xml:space="preserve">Total </w:t>
            </w:r>
          </w:p>
        </w:tc>
        <w:tc>
          <w:tcPr>
            <w:tcW w:w="2925" w:type="dxa"/>
            <w:noWrap/>
            <w:hideMark/>
          </w:tcPr>
          <w:p w14:paraId="241F042F"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$54,781,319.03</w:t>
            </w:r>
          </w:p>
        </w:tc>
        <w:tc>
          <w:tcPr>
            <w:tcW w:w="2418" w:type="dxa"/>
            <w:noWrap/>
            <w:hideMark/>
          </w:tcPr>
          <w:p w14:paraId="54F033AC"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$28,780,189.62</w:t>
            </w:r>
          </w:p>
        </w:tc>
        <w:tc>
          <w:tcPr>
            <w:tcW w:w="2594" w:type="dxa"/>
            <w:noWrap/>
            <w:hideMark/>
          </w:tcPr>
          <w:p w14:paraId="1DFB3AF5" w14:textId="77777777" w:rsidR="002C6640" w:rsidRPr="00666FAC" w:rsidRDefault="002C6640" w:rsidP="001D053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s-SV"/>
              </w:rPr>
            </w:pPr>
            <w:r w:rsidRPr="00666FAC">
              <w:rPr>
                <w:rFonts w:ascii="Calibri" w:eastAsia="Times New Roman" w:hAnsi="Calibri" w:cs="Times New Roman"/>
                <w:color w:val="000000"/>
                <w:sz w:val="20"/>
                <w:szCs w:val="20"/>
                <w:lang w:eastAsia="es-SV"/>
              </w:rPr>
              <w:t>$83,561,508.65</w:t>
            </w:r>
          </w:p>
        </w:tc>
      </w:tr>
      <w:tr w:rsidR="002C6640" w:rsidRPr="00666FAC" w14:paraId="5050ED58" w14:textId="77777777" w:rsidTr="00666FAC">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729" w:type="dxa"/>
            <w:gridSpan w:val="4"/>
            <w:noWrap/>
            <w:hideMark/>
          </w:tcPr>
          <w:p w14:paraId="1E0C1366" w14:textId="470D483A" w:rsidR="002C6640" w:rsidRPr="00666FAC" w:rsidRDefault="002C6640" w:rsidP="00666FAC">
            <w:pPr>
              <w:spacing w:after="0" w:line="240" w:lineRule="auto"/>
              <w:jc w:val="both"/>
              <w:rPr>
                <w:rFonts w:ascii="Calibri" w:eastAsia="Times New Roman" w:hAnsi="Calibri" w:cs="Times New Roman"/>
                <w:b w:val="0"/>
                <w:bCs w:val="0"/>
                <w:color w:val="000000"/>
                <w:sz w:val="20"/>
                <w:szCs w:val="20"/>
                <w:lang w:eastAsia="es-SV"/>
              </w:rPr>
            </w:pPr>
            <w:r w:rsidRPr="00666FAC">
              <w:rPr>
                <w:rFonts w:ascii="Calibri" w:eastAsia="Times New Roman" w:hAnsi="Calibri" w:cs="Times New Roman"/>
                <w:b w:val="0"/>
                <w:bCs w:val="0"/>
                <w:color w:val="000000"/>
                <w:sz w:val="20"/>
                <w:szCs w:val="20"/>
                <w:lang w:eastAsia="es-SV"/>
              </w:rPr>
              <w:t>Elaboración propia con datos del Informe de Coyuntura del ISSS</w:t>
            </w:r>
            <w:r w:rsidR="00084AC6">
              <w:rPr>
                <w:rFonts w:ascii="Calibri" w:eastAsia="Times New Roman" w:hAnsi="Calibri" w:cs="Times New Roman"/>
                <w:b w:val="0"/>
                <w:bCs w:val="0"/>
                <w:color w:val="000000"/>
                <w:sz w:val="20"/>
                <w:szCs w:val="20"/>
                <w:lang w:eastAsia="es-SV"/>
              </w:rPr>
              <w:t>,</w:t>
            </w:r>
            <w:r w:rsidRPr="00666FAC">
              <w:rPr>
                <w:rFonts w:ascii="Calibri" w:eastAsia="Times New Roman" w:hAnsi="Calibri" w:cs="Times New Roman"/>
                <w:b w:val="0"/>
                <w:bCs w:val="0"/>
                <w:color w:val="000000"/>
                <w:sz w:val="20"/>
                <w:szCs w:val="20"/>
                <w:lang w:eastAsia="es-SV"/>
              </w:rPr>
              <w:t xml:space="preserve"> diciembre 2020</w:t>
            </w:r>
            <w:r w:rsidR="00084AC6">
              <w:rPr>
                <w:rFonts w:ascii="Calibri" w:eastAsia="Times New Roman" w:hAnsi="Calibri" w:cs="Times New Roman"/>
                <w:b w:val="0"/>
                <w:bCs w:val="0"/>
                <w:color w:val="000000"/>
                <w:sz w:val="20"/>
                <w:szCs w:val="20"/>
                <w:lang w:eastAsia="es-SV"/>
              </w:rPr>
              <w:t>.</w:t>
            </w:r>
          </w:p>
        </w:tc>
      </w:tr>
    </w:tbl>
    <w:p w14:paraId="4BAE3923" w14:textId="77777777" w:rsidR="002C6640" w:rsidRPr="005B0555" w:rsidRDefault="002C6640" w:rsidP="002C6640">
      <w:pPr>
        <w:pStyle w:val="Prrafodelista"/>
        <w:spacing w:after="0" w:line="240" w:lineRule="auto"/>
        <w:ind w:left="1080"/>
        <w:jc w:val="both"/>
        <w:textAlignment w:val="baseline"/>
        <w:rPr>
          <w:rFonts w:eastAsia="Times New Roman" w:cstheme="minorHAnsi"/>
          <w:color w:val="000000"/>
          <w:bdr w:val="none" w:sz="0" w:space="0" w:color="auto" w:frame="1"/>
          <w:lang w:eastAsia="es-SV"/>
        </w:rPr>
      </w:pPr>
      <w:r w:rsidRPr="005B0555">
        <w:rPr>
          <w:rFonts w:eastAsia="Times New Roman" w:cstheme="minorHAnsi"/>
          <w:color w:val="000000"/>
          <w:bdr w:val="none" w:sz="0" w:space="0" w:color="auto" w:frame="1"/>
          <w:lang w:eastAsia="es-SV"/>
        </w:rPr>
        <w:t xml:space="preserve">                                     </w:t>
      </w:r>
    </w:p>
    <w:p w14:paraId="75D2CA54" w14:textId="3D2827AB" w:rsidR="002C6640" w:rsidRPr="00EB6019" w:rsidRDefault="002C6640" w:rsidP="002C6640">
      <w:pPr>
        <w:pStyle w:val="Prrafodelista"/>
        <w:numPr>
          <w:ilvl w:val="0"/>
          <w:numId w:val="1"/>
        </w:num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cstheme="minorHAnsi"/>
          <w:sz w:val="23"/>
          <w:szCs w:val="23"/>
        </w:rPr>
        <w:t>El Gobierno de la República</w:t>
      </w:r>
      <w:r w:rsidR="00B30E71" w:rsidRPr="00EB6019">
        <w:rPr>
          <w:rFonts w:cstheme="minorHAnsi"/>
          <w:sz w:val="23"/>
          <w:szCs w:val="23"/>
        </w:rPr>
        <w:t>,</w:t>
      </w:r>
      <w:r w:rsidRPr="00EB6019">
        <w:rPr>
          <w:rFonts w:cstheme="minorHAnsi"/>
          <w:sz w:val="23"/>
          <w:szCs w:val="23"/>
        </w:rPr>
        <w:t xml:space="preserve"> a través del Ministerio de Trabajo y Previsión Social</w:t>
      </w:r>
      <w:r w:rsidR="00B30E71" w:rsidRPr="00EB6019">
        <w:rPr>
          <w:rFonts w:cstheme="minorHAnsi"/>
          <w:sz w:val="23"/>
          <w:szCs w:val="23"/>
        </w:rPr>
        <w:t>,</w:t>
      </w:r>
      <w:r w:rsidRPr="00EB6019">
        <w:rPr>
          <w:rFonts w:cstheme="minorHAnsi"/>
          <w:sz w:val="23"/>
          <w:szCs w:val="23"/>
        </w:rPr>
        <w:t xml:space="preserve"> debe impulsar una política de empleo digno, que ofrezca opciones distintas a la maquila y en su lugar, fomentar fuentes de trabajo que garanticen la estabilidad laboral, prestaciones, condiciones apropiadas de trabajo y salarios justos, que propicien, verdaderamente, el bienestar y desarrollo social de la población salvadoreña.</w:t>
      </w:r>
    </w:p>
    <w:p w14:paraId="32A8F7D2" w14:textId="77777777" w:rsidR="002C6640" w:rsidRPr="00EB6019" w:rsidRDefault="002C6640" w:rsidP="002C6640">
      <w:pPr>
        <w:spacing w:after="0" w:line="240" w:lineRule="auto"/>
        <w:ind w:left="360"/>
        <w:jc w:val="both"/>
        <w:textAlignment w:val="baseline"/>
        <w:rPr>
          <w:rFonts w:eastAsia="Times New Roman" w:cstheme="minorHAnsi"/>
          <w:color w:val="000000"/>
          <w:sz w:val="23"/>
          <w:szCs w:val="23"/>
          <w:bdr w:val="none" w:sz="0" w:space="0" w:color="auto" w:frame="1"/>
          <w:lang w:eastAsia="es-SV"/>
        </w:rPr>
      </w:pPr>
    </w:p>
    <w:p w14:paraId="72635621" w14:textId="56C5EE35" w:rsidR="0047613C" w:rsidRPr="00D92237" w:rsidRDefault="002C6640" w:rsidP="00D92237">
      <w:pPr>
        <w:pStyle w:val="Prrafodelista"/>
        <w:numPr>
          <w:ilvl w:val="0"/>
          <w:numId w:val="1"/>
        </w:numPr>
        <w:spacing w:after="0" w:line="240" w:lineRule="auto"/>
        <w:jc w:val="both"/>
        <w:textAlignment w:val="baseline"/>
        <w:rPr>
          <w:rFonts w:eastAsia="Times New Roman" w:cstheme="minorHAnsi"/>
          <w:color w:val="000000"/>
          <w:sz w:val="23"/>
          <w:szCs w:val="23"/>
          <w:bdr w:val="none" w:sz="0" w:space="0" w:color="auto" w:frame="1"/>
          <w:lang w:eastAsia="es-SV"/>
        </w:rPr>
      </w:pPr>
      <w:r w:rsidRPr="00EB6019">
        <w:rPr>
          <w:rFonts w:eastAsia="Times New Roman" w:cstheme="minorHAnsi"/>
          <w:color w:val="000000"/>
          <w:sz w:val="23"/>
          <w:szCs w:val="23"/>
          <w:bdr w:val="none" w:sz="0" w:space="0" w:color="auto" w:frame="1"/>
          <w:lang w:eastAsia="es-SV"/>
        </w:rPr>
        <w:t>La Asamblea Legislativa tiene entre sus atribuciones</w:t>
      </w:r>
      <w:r w:rsidR="00DD677A">
        <w:rPr>
          <w:rFonts w:eastAsia="Times New Roman" w:cstheme="minorHAnsi"/>
          <w:color w:val="000000"/>
          <w:sz w:val="23"/>
          <w:szCs w:val="23"/>
          <w:bdr w:val="none" w:sz="0" w:space="0" w:color="auto" w:frame="1"/>
          <w:lang w:eastAsia="es-SV"/>
        </w:rPr>
        <w:t>:</w:t>
      </w:r>
      <w:r w:rsidRPr="00EB6019">
        <w:rPr>
          <w:rFonts w:eastAsia="Times New Roman" w:cstheme="minorHAnsi"/>
          <w:color w:val="000000"/>
          <w:sz w:val="23"/>
          <w:szCs w:val="23"/>
          <w:bdr w:val="none" w:sz="0" w:space="0" w:color="auto" w:frame="1"/>
          <w:lang w:eastAsia="es-SV"/>
        </w:rPr>
        <w:t xml:space="preserve"> “Decretar, interpretar auténticamente, reformar y derogar las leyes secundarias”; en tal sentido, se recomienda a este Órgano de Estado establecer un nuevo marco jurídico institucional </w:t>
      </w:r>
      <w:r w:rsidR="00B30E71" w:rsidRPr="00EB6019">
        <w:rPr>
          <w:rFonts w:eastAsia="Times New Roman" w:cstheme="minorHAnsi"/>
          <w:color w:val="000000"/>
          <w:sz w:val="23"/>
          <w:szCs w:val="23"/>
          <w:bdr w:val="none" w:sz="0" w:space="0" w:color="auto" w:frame="1"/>
          <w:lang w:eastAsia="es-SV"/>
        </w:rPr>
        <w:t>para</w:t>
      </w:r>
      <w:r w:rsidRPr="00EB6019">
        <w:rPr>
          <w:rFonts w:eastAsia="Times New Roman" w:cstheme="minorHAnsi"/>
          <w:color w:val="000000"/>
          <w:sz w:val="23"/>
          <w:szCs w:val="23"/>
          <w:bdr w:val="none" w:sz="0" w:space="0" w:color="auto" w:frame="1"/>
          <w:lang w:eastAsia="es-SV"/>
        </w:rPr>
        <w:t xml:space="preserve"> la Inspección de Trabajo</w:t>
      </w:r>
      <w:r w:rsidR="00DD677A">
        <w:rPr>
          <w:rFonts w:eastAsia="Times New Roman" w:cstheme="minorHAnsi"/>
          <w:color w:val="000000"/>
          <w:sz w:val="23"/>
          <w:szCs w:val="23"/>
          <w:bdr w:val="none" w:sz="0" w:space="0" w:color="auto" w:frame="1"/>
          <w:lang w:eastAsia="es-SV"/>
        </w:rPr>
        <w:t>; asimismo,</w:t>
      </w:r>
      <w:r w:rsidRPr="00EB6019">
        <w:rPr>
          <w:rFonts w:eastAsia="Times New Roman" w:cstheme="minorHAnsi"/>
          <w:color w:val="000000"/>
          <w:sz w:val="23"/>
          <w:szCs w:val="23"/>
          <w:bdr w:val="none" w:sz="0" w:space="0" w:color="auto" w:frame="1"/>
          <w:lang w:eastAsia="es-SV"/>
        </w:rPr>
        <w:t xml:space="preserve"> que se emitan disposiciones legales que garanticen que las personas empleadoras cumplan y respeten las disposiciones legales relativas al trabajo</w:t>
      </w:r>
      <w:r w:rsidR="00B30E71" w:rsidRPr="00EB6019">
        <w:rPr>
          <w:rFonts w:eastAsia="Times New Roman" w:cstheme="minorHAnsi"/>
          <w:color w:val="000000"/>
          <w:sz w:val="23"/>
          <w:szCs w:val="23"/>
          <w:bdr w:val="none" w:sz="0" w:space="0" w:color="auto" w:frame="1"/>
          <w:lang w:eastAsia="es-SV"/>
        </w:rPr>
        <w:t xml:space="preserve"> y</w:t>
      </w:r>
      <w:r w:rsidRPr="00EB6019">
        <w:rPr>
          <w:rFonts w:eastAsia="Times New Roman" w:cstheme="minorHAnsi"/>
          <w:color w:val="000000"/>
          <w:sz w:val="23"/>
          <w:szCs w:val="23"/>
          <w:bdr w:val="none" w:sz="0" w:space="0" w:color="auto" w:frame="1"/>
          <w:lang w:eastAsia="es-SV"/>
        </w:rPr>
        <w:t xml:space="preserve"> la seguridad social</w:t>
      </w:r>
      <w:r w:rsidR="00B30E71" w:rsidRPr="00EB6019">
        <w:rPr>
          <w:rFonts w:eastAsia="Times New Roman" w:cstheme="minorHAnsi"/>
          <w:color w:val="000000"/>
          <w:sz w:val="23"/>
          <w:szCs w:val="23"/>
          <w:bdr w:val="none" w:sz="0" w:space="0" w:color="auto" w:frame="1"/>
          <w:lang w:eastAsia="es-SV"/>
        </w:rPr>
        <w:t>,</w:t>
      </w:r>
      <w:r w:rsidRPr="00EB6019">
        <w:rPr>
          <w:rFonts w:eastAsia="Times New Roman" w:cstheme="minorHAnsi"/>
          <w:color w:val="000000"/>
          <w:sz w:val="23"/>
          <w:szCs w:val="23"/>
          <w:bdr w:val="none" w:sz="0" w:space="0" w:color="auto" w:frame="1"/>
          <w:lang w:eastAsia="es-SV"/>
        </w:rPr>
        <w:t xml:space="preserve"> por medio de una reforma a la Ley de Zonas Francas Industriales y de Comercialización</w:t>
      </w:r>
      <w:r w:rsidR="00B30E71" w:rsidRPr="00EB6019">
        <w:rPr>
          <w:rFonts w:eastAsia="Times New Roman" w:cstheme="minorHAnsi"/>
          <w:color w:val="000000"/>
          <w:sz w:val="23"/>
          <w:szCs w:val="23"/>
          <w:bdr w:val="none" w:sz="0" w:space="0" w:color="auto" w:frame="1"/>
          <w:lang w:eastAsia="es-SV"/>
        </w:rPr>
        <w:t>,</w:t>
      </w:r>
      <w:r w:rsidRPr="00EB6019">
        <w:rPr>
          <w:rFonts w:eastAsia="Times New Roman" w:cstheme="minorHAnsi"/>
          <w:color w:val="000000"/>
          <w:sz w:val="23"/>
          <w:szCs w:val="23"/>
          <w:bdr w:val="none" w:sz="0" w:space="0" w:color="auto" w:frame="1"/>
          <w:lang w:eastAsia="es-SV"/>
        </w:rPr>
        <w:t xml:space="preserve"> que establezca una garantía de fianza ante la eventual insolvencia de las empresas bajo e</w:t>
      </w:r>
      <w:r w:rsidR="00B30E71" w:rsidRPr="00EB6019">
        <w:rPr>
          <w:rFonts w:eastAsia="Times New Roman" w:cstheme="minorHAnsi"/>
          <w:color w:val="000000"/>
          <w:sz w:val="23"/>
          <w:szCs w:val="23"/>
          <w:bdr w:val="none" w:sz="0" w:space="0" w:color="auto" w:frame="1"/>
          <w:lang w:eastAsia="es-SV"/>
        </w:rPr>
        <w:t>ste</w:t>
      </w:r>
      <w:r w:rsidRPr="00EB6019">
        <w:rPr>
          <w:rFonts w:eastAsia="Times New Roman" w:cstheme="minorHAnsi"/>
          <w:color w:val="000000"/>
          <w:sz w:val="23"/>
          <w:szCs w:val="23"/>
          <w:bdr w:val="none" w:sz="0" w:space="0" w:color="auto" w:frame="1"/>
          <w:lang w:eastAsia="es-SV"/>
        </w:rPr>
        <w:t xml:space="preserve"> régimen.</w:t>
      </w:r>
      <w:bookmarkStart w:id="0" w:name="_GoBack"/>
      <w:bookmarkEnd w:id="0"/>
    </w:p>
    <w:sectPr w:rsidR="0047613C" w:rsidRPr="00D92237" w:rsidSect="00666FAC">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6A68" w14:textId="77777777" w:rsidR="002A2ECD" w:rsidRDefault="002A2ECD" w:rsidP="002C6640">
      <w:pPr>
        <w:spacing w:after="0" w:line="240" w:lineRule="auto"/>
      </w:pPr>
      <w:r>
        <w:separator/>
      </w:r>
    </w:p>
  </w:endnote>
  <w:endnote w:type="continuationSeparator" w:id="0">
    <w:p w14:paraId="4AE15061" w14:textId="77777777" w:rsidR="002A2ECD" w:rsidRDefault="002A2ECD" w:rsidP="002C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96B6" w14:textId="77777777" w:rsidR="00AD2382" w:rsidRPr="00A07634" w:rsidRDefault="002A2ECD" w:rsidP="00A07634">
    <w:pPr>
      <w:jc w:val="both"/>
      <w:rPr>
        <w:rFonts w:ascii="Arial" w:hAnsi="Arial" w:cs="Arial"/>
        <w:b/>
        <w:bCs/>
      </w:rPr>
    </w:pPr>
  </w:p>
  <w:p w14:paraId="59917724" w14:textId="77777777" w:rsidR="00A07634" w:rsidRDefault="002A2E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C2D43" w14:textId="77777777" w:rsidR="002A2ECD" w:rsidRDefault="002A2ECD" w:rsidP="002C6640">
      <w:pPr>
        <w:spacing w:after="0" w:line="240" w:lineRule="auto"/>
      </w:pPr>
      <w:r>
        <w:separator/>
      </w:r>
    </w:p>
  </w:footnote>
  <w:footnote w:type="continuationSeparator" w:id="0">
    <w:p w14:paraId="00E07FFA" w14:textId="77777777" w:rsidR="002A2ECD" w:rsidRDefault="002A2ECD" w:rsidP="002C6640">
      <w:pPr>
        <w:spacing w:after="0" w:line="240" w:lineRule="auto"/>
      </w:pPr>
      <w:r>
        <w:continuationSeparator/>
      </w:r>
    </w:p>
  </w:footnote>
  <w:footnote w:id="1">
    <w:p w14:paraId="5A1D9686" w14:textId="77777777" w:rsidR="002C6640" w:rsidRDefault="002C6640" w:rsidP="002C6640">
      <w:pPr>
        <w:pStyle w:val="Textonotapie"/>
        <w:rPr>
          <w:sz w:val="18"/>
          <w:szCs w:val="18"/>
        </w:rPr>
      </w:pPr>
      <w:r w:rsidRPr="00155EB9">
        <w:rPr>
          <w:rStyle w:val="Refdenotaalpie"/>
          <w:sz w:val="18"/>
          <w:szCs w:val="18"/>
        </w:rPr>
        <w:footnoteRef/>
      </w:r>
      <w:r w:rsidRPr="00155EB9">
        <w:rPr>
          <w:sz w:val="18"/>
          <w:szCs w:val="18"/>
        </w:rPr>
        <w:t xml:space="preserve"> </w:t>
      </w:r>
      <w:hyperlink r:id="rId1" w:history="1">
        <w:r w:rsidRPr="00155EB9">
          <w:rPr>
            <w:rStyle w:val="Hipervnculo"/>
            <w:sz w:val="18"/>
            <w:szCs w:val="18"/>
          </w:rPr>
          <w:t>https://observatoriocentroamericanodeviolencialaboral.org/wp-content/uploads/2020/12/Informe-Violencia-Laboral-2019-vf.pdf</w:t>
        </w:r>
      </w:hyperlink>
    </w:p>
    <w:p w14:paraId="3C247EA7" w14:textId="77777777" w:rsidR="002C6640" w:rsidRPr="00155EB9" w:rsidRDefault="002C6640" w:rsidP="002C6640">
      <w:pPr>
        <w:pStyle w:val="Textonotapie"/>
        <w:rPr>
          <w:sz w:val="18"/>
          <w:szCs w:val="18"/>
        </w:rPr>
      </w:pPr>
    </w:p>
  </w:footnote>
  <w:footnote w:id="2">
    <w:p w14:paraId="5F1B9CB1" w14:textId="77777777" w:rsidR="002C6640" w:rsidRPr="00155EB9" w:rsidRDefault="002C6640" w:rsidP="002C6640">
      <w:pPr>
        <w:pStyle w:val="Textonotapie"/>
        <w:rPr>
          <w:rFonts w:ascii="Calibri" w:eastAsia="Times New Roman" w:hAnsi="Calibri" w:cs="Times New Roman"/>
          <w:color w:val="000000"/>
          <w:sz w:val="18"/>
          <w:szCs w:val="18"/>
          <w:lang w:eastAsia="es-SV"/>
        </w:rPr>
      </w:pPr>
      <w:r w:rsidRPr="00155EB9">
        <w:rPr>
          <w:rStyle w:val="Refdenotaalpie"/>
          <w:sz w:val="18"/>
          <w:szCs w:val="18"/>
        </w:rPr>
        <w:footnoteRef/>
      </w:r>
      <w:r w:rsidRPr="00155EB9">
        <w:rPr>
          <w:sz w:val="18"/>
          <w:szCs w:val="18"/>
        </w:rPr>
        <w:t xml:space="preserve"> </w:t>
      </w:r>
      <w:r w:rsidRPr="00214DE4">
        <w:rPr>
          <w:rFonts w:ascii="Calibri" w:eastAsia="Times New Roman" w:hAnsi="Calibri" w:cs="Times New Roman"/>
          <w:color w:val="000000"/>
          <w:sz w:val="18"/>
          <w:szCs w:val="18"/>
          <w:lang w:eastAsia="es-SV"/>
        </w:rPr>
        <w:t>Informe de Coyuntura del ISSS de diciembre 2020</w:t>
      </w:r>
      <w:r w:rsidRPr="00155EB9">
        <w:rPr>
          <w:rFonts w:ascii="Calibri" w:eastAsia="Times New Roman" w:hAnsi="Calibri" w:cs="Times New Roman"/>
          <w:color w:val="000000"/>
          <w:sz w:val="18"/>
          <w:szCs w:val="18"/>
          <w:lang w:eastAsia="es-SV"/>
        </w:rPr>
        <w:t xml:space="preserve">, recuperado en </w:t>
      </w:r>
      <w:hyperlink r:id="rId2" w:history="1">
        <w:r w:rsidRPr="00155EB9">
          <w:rPr>
            <w:rStyle w:val="Hipervnculo"/>
            <w:rFonts w:ascii="Calibri" w:eastAsia="Times New Roman" w:hAnsi="Calibri" w:cs="Times New Roman"/>
            <w:sz w:val="18"/>
            <w:szCs w:val="18"/>
            <w:lang w:eastAsia="es-SV"/>
          </w:rPr>
          <w:t>https://www.transparencia.gob.sv/institutions/isss/documents/estadisticas</w:t>
        </w:r>
      </w:hyperlink>
    </w:p>
    <w:p w14:paraId="41570BD7" w14:textId="77777777" w:rsidR="002C6640" w:rsidRPr="00C9375F" w:rsidRDefault="002C6640" w:rsidP="002C664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0193" w14:textId="20D9D933" w:rsidR="00815C6E" w:rsidRPr="000F0B2D" w:rsidRDefault="00B96910" w:rsidP="000F0B2D">
    <w:pPr>
      <w:pStyle w:val="Encabezado"/>
    </w:pPr>
    <w:r w:rsidRPr="000F0B2D">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1290"/>
    <w:multiLevelType w:val="hybridMultilevel"/>
    <w:tmpl w:val="F8C2F1FC"/>
    <w:lvl w:ilvl="0" w:tplc="FFBC837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40"/>
    <w:rsid w:val="0007641F"/>
    <w:rsid w:val="00084AC6"/>
    <w:rsid w:val="000F0B2D"/>
    <w:rsid w:val="001117EC"/>
    <w:rsid w:val="00153B5C"/>
    <w:rsid w:val="00177764"/>
    <w:rsid w:val="00197BC0"/>
    <w:rsid w:val="001D0535"/>
    <w:rsid w:val="00207138"/>
    <w:rsid w:val="002A2ECD"/>
    <w:rsid w:val="002C6640"/>
    <w:rsid w:val="00323519"/>
    <w:rsid w:val="003C261C"/>
    <w:rsid w:val="0047613C"/>
    <w:rsid w:val="00555DBF"/>
    <w:rsid w:val="006A1683"/>
    <w:rsid w:val="00771357"/>
    <w:rsid w:val="007F59BB"/>
    <w:rsid w:val="00815304"/>
    <w:rsid w:val="00926F89"/>
    <w:rsid w:val="00992362"/>
    <w:rsid w:val="009A1508"/>
    <w:rsid w:val="009A3904"/>
    <w:rsid w:val="009F5B01"/>
    <w:rsid w:val="00AA28C2"/>
    <w:rsid w:val="00B30E71"/>
    <w:rsid w:val="00B858ED"/>
    <w:rsid w:val="00B96910"/>
    <w:rsid w:val="00C27393"/>
    <w:rsid w:val="00CD3093"/>
    <w:rsid w:val="00D41FDA"/>
    <w:rsid w:val="00D92237"/>
    <w:rsid w:val="00DD677A"/>
    <w:rsid w:val="00E84C7C"/>
    <w:rsid w:val="00EB6019"/>
    <w:rsid w:val="00F518B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B7AE"/>
  <w15:chartTrackingRefBased/>
  <w15:docId w15:val="{D15F893E-2DEA-462E-90C9-364CFAB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66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6640"/>
  </w:style>
  <w:style w:type="paragraph" w:styleId="Piedepgina">
    <w:name w:val="footer"/>
    <w:basedOn w:val="Normal"/>
    <w:link w:val="PiedepginaCar"/>
    <w:uiPriority w:val="99"/>
    <w:unhideWhenUsed/>
    <w:rsid w:val="002C66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640"/>
  </w:style>
  <w:style w:type="character" w:styleId="Hipervnculo">
    <w:name w:val="Hyperlink"/>
    <w:basedOn w:val="Fuentedeprrafopredeter"/>
    <w:uiPriority w:val="99"/>
    <w:unhideWhenUsed/>
    <w:rsid w:val="002C6640"/>
    <w:rPr>
      <w:color w:val="0563C1" w:themeColor="hyperlink"/>
      <w:u w:val="single"/>
    </w:rPr>
  </w:style>
  <w:style w:type="paragraph" w:styleId="Textonotapie">
    <w:name w:val="footnote text"/>
    <w:basedOn w:val="Normal"/>
    <w:link w:val="TextonotapieCar"/>
    <w:uiPriority w:val="99"/>
    <w:semiHidden/>
    <w:unhideWhenUsed/>
    <w:rsid w:val="002C66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6640"/>
    <w:rPr>
      <w:sz w:val="20"/>
      <w:szCs w:val="20"/>
    </w:rPr>
  </w:style>
  <w:style w:type="character" w:styleId="Refdenotaalpie">
    <w:name w:val="footnote reference"/>
    <w:basedOn w:val="Fuentedeprrafopredeter"/>
    <w:uiPriority w:val="99"/>
    <w:semiHidden/>
    <w:unhideWhenUsed/>
    <w:rsid w:val="002C6640"/>
    <w:rPr>
      <w:vertAlign w:val="superscript"/>
    </w:rPr>
  </w:style>
  <w:style w:type="table" w:styleId="Tabladecuadrcula6concolores-nfasis1">
    <w:name w:val="Grid Table 6 Colorful Accent 1"/>
    <w:basedOn w:val="Tablanormal"/>
    <w:uiPriority w:val="51"/>
    <w:rsid w:val="002C664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C6640"/>
    <w:pPr>
      <w:ind w:left="720"/>
      <w:contextualSpacing/>
    </w:pPr>
  </w:style>
  <w:style w:type="table" w:styleId="Tabladecuadrcula2-nfasis1">
    <w:name w:val="Grid Table 2 Accent 1"/>
    <w:basedOn w:val="Tablanormal"/>
    <w:uiPriority w:val="47"/>
    <w:rsid w:val="002C664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parencia.gob.sv/institutions/isss/documents/estadisticas" TargetMode="External"/><Relationship Id="rId1" Type="http://schemas.openxmlformats.org/officeDocument/2006/relationships/hyperlink" Target="https://observatoriocentroamericanodeviolencialaboral.org/wp-content/uploads/2020/12/Informe-Violencia-Laboral-2019-v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Vaquerano</dc:creator>
  <cp:keywords/>
  <dc:description/>
  <cp:lastModifiedBy>vilma vaquerano</cp:lastModifiedBy>
  <cp:revision>5</cp:revision>
  <dcterms:created xsi:type="dcterms:W3CDTF">2021-02-02T05:20:00Z</dcterms:created>
  <dcterms:modified xsi:type="dcterms:W3CDTF">2021-02-02T05:22:00Z</dcterms:modified>
</cp:coreProperties>
</file>